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bookmarkStart w:id="0" w:name="_GoBack"/>
      <w:r w:rsidRPr="00E767B4">
        <w:rPr>
          <w:b/>
          <w:bCs/>
          <w:color w:val="000000"/>
        </w:rPr>
        <w:t>NỘI DUNG KẾ HOẠCH ỨNG PHÓ SỰ CỐ BỨC XẠ TRONG TRƯỜNG HỢP PHẢI ĐỀ NGHỊ PHÊ DUYỆT</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 KẾ HOẠCH ỨNG PHÓ SỰ CỐ ĐỐI VỚI TỔ CHỨC, CÁ NHÂN TIẾN HÀNH CÔNG VIỆC BỨC XẠ, TRỪ CÁC CÔNG VIỆC NÊU TẠI MỤC I.2</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 phạm vi điều chỉnh và đối tượng áp dụng của bản kế hoạch ứng phó sự cố; giải thích khái niệm, thuật ngữ được dùng trong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2. Mô tả loại hình công việc bức xạ của cơ sở; phân tích nguy cơ và xác định các tình huống sự cố, hậu quả có thể xảy ra</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Sơ đồ tổ chức ứng phó sự cố tại cơ sở; trách nhiệm của tổ chức, cá nhân liên quan và nguồn lực phục vụ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Kịch bản ứng phó cho từng tình huống sự cố có thể xảy ra, gồm các nội dung sau đây:</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Huy động nguồn lực và triển khai ứng phó: Quy định trách nhiệm huy động và triển khai nguồn lực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5. Đào tạo, diễn tập, cập nhật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6. Tài liệu kèm theo:</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Danh mục nguồn phóng xạ, thiết bị bức xạ của cơ sở (Thông tin nguồn/thiết bị, giấy phép liên quan);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Sơ đồ mặt bằng cơ sở, nơi tiến hành công việc bức xạ;</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Danh mục trang thiết bị sử dụng trong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d) Danh sách, địa chỉ, số điện thoại liên lạc của tổ chức, cá nhân tham gia ứng phó sự cố và tổ chức, cá nhân hỗ trợ;</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lastRenderedPageBreak/>
        <w:t>đ) Các biểu mẫu: Thông báo và tiếp nhận thông tin; yêu cầu trợ giúp; Báo cáo trong quá trình ứng phó và sau khi sự cố kết thúc.</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II. KẾ HOẠCH ỨNG PHÓ SỰ CỐ ĐỐI VỚI CƠ SỞ TIẾN HÀNH CÔNG VIỆC BỨC XẠ ĐÓNG GÓI, VẬN CHUYỂN NGUỒN PHÓNG XẠ, VẬT LIỆU HẠT NHÂN NGUỒN, VẬT LIỆU HẠT NHÂN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 trách nhiệm của tổ chức, cá nhân trong việc xây dựng, thực hiện và chỉnh sửa kế hoạch.</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2. Mô tả loại hình công việc bức xạ của cơ sở; phân tích nguy cơ và xác định các tình huống sự cố, hậu quả có thể xảy ra.</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Hướng dẫn về các hành động cần thực hiện ngay khi xảy ra sự cố để giảm thiểu hậu quả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Quy trình ứng phó cho từng tình huống sự cố có thể xảy ra, trong đó có các nội dung sau:</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Mục tiêu;</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Các bước cần thực hiện, đối tượng thực hiện, biện pháp thực hiện;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Báo cáo trong quá trình ứng phó và sau khi kết thúc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d) Tổ chức, cá nhân liên quan.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5. Quy định về đào tạo, diễn tập, cập nhật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6. Tài liệu kèm theo:</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Danh sách, địa chỉ, số điện thoại liên lạc của tổ chức, cá nhân tham gia ứng phó sự cố và tổ chức, cá nhân hỗ trợ;</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Danh mục trang thiết bị sử dụng trong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Các biểu mẫu: Thông báo và tiếp nhận thông tin; yêu cầu trợ giúp; báo cáo trong quá trình ứng phó và sau khi sự cố kết thúc.</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Phần II</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NỘI DUNG KẾ HOẠCH ỨNG PHÓ SỰ CỐ BỨC XẠ TRONG TRƯỜNG HỢP KHÔNG PHÊ DUYỆT</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 KẾ HOẠCH ỨNG PHÓ SỰ CỐ ĐỐI VỚI CƠ SỞ TIẾN HÀNH CÔNG VIỆC BỨC XẠ SỬ DỤNG, LƯU GIỮ, ĐÓNG GÓI VÀ VẬN CHUYỂN NGUỒN PHÓNG XẠ THUỘC NHÓM 3, NHÓM 4 THEO QUY ĐỊNH TẠI QCVN 6:2010/BKHCN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 phạm vi điều chỉnh và đối tượng áp dụng của bản kế hoạch ứng phó sự cố; giải thích khái niệm, thuật ngữ được dùng trong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2. Mô tả loại hình công việc bức xạ của cơ sở; phân tích nguy cơ và xác định các tình huống sự cố, hậu quả có thể xảy ra.</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Kịch bản ứng phó cho từng tình huống sự cố như mô tả ở khoản 2, gồm các nội dung sau đây:</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Tiếp nhận và xử lý thông tin sự cố, thông báo cho các tổ chức, cá nhân tham gia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Quy trình ứng phó đối với từng tình huống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Tiêu chí ra quyết định kết thúc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lastRenderedPageBreak/>
        <w:t>d) Việc khắc phục hậu quả về môi trường, theo dõi và điều trị về sức khỏe cho nạn nhân (nếu có);</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Đào tạo, diễn tập, cập nhật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5. Tài liệu kèm theo:</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Danh mục nguồn phóng xạ, thiết bị bức xạ của cơ sở (Thông tin nguồn/thiết bị, giấy phép liên quan);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Sơ đồ mặt bằng cơ sở, nơi tiến hành công việc bức xạ;</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Danh mục trang thiết bị sử dụng trong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d) Danh sách, địa chỉ, số điện thoại liên lạc của tổ chức, cá nhân tham gia ứng phó sự cố và tổ chức, cá nhân hỗ trợ;</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đ) Các biểu mẫu: Thông báo và tiếp nhận thông tin; yêu cầu trợ giúp; báo cáo trong quá trình ứng phó và sau khi sự cố kết thúc.</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II. KẾ HOẠCH ỨNG PHÓ SỰ CỐ ĐỐI VỚI CƠ SỞ TIẾN HÀNH CÔNG VIỆC BỨC XẠ SỬ DỤNG, LƯU GIỮ, ĐÓNG GÓI VÀ VẬN CHUYỂN NGUỒN PHÓNG XẠ THUỘC NHÓM 5 THEO QUY ĐỊNH TẠI QCVN 6:2010/BKHCN</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2. Mô tả loại hình công việc bức xạ của cơ sở; Phân tích nguy cơ, tình huống liên quan tới thất lạc nguồn phóng xạ, mất an toàn liên quan tới nguồn phóng xạ.</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Kịch bản ứng phó sự cố cho từng tình huống mô tả tại khoản 2.</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III. KẾ HOẠCH ỨNG PHÓ SỰ CỐ ĐỐI VỚI CƠ SỞ SỬ DỤNG THIẾT BỊ X-QUANG CHẨN ĐOÁN Y TẾ VÀ THIẾT BỊ PHÁT TIA X KHÁC</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2. Trách nhiệm báo cáo sự cố khi có người bị chiếu xạ quá liều.</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Báo cáo kết thúc sự cố: Nơi nhận, thời gian gửi, nội dung của báo cáo (hoạt động khắc phục sự cố đã thực hiện, hậu quả sự cố, đánh giá liều bức xạ, kết luận và kiến nghị).</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Quy định về trách nhiệm, phương pháp đánh giá liều và theo dõi sức khỏe của cá nhân bị chiếu xạ quá liều.</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b/>
          <w:bCs/>
          <w:color w:val="000000"/>
        </w:rPr>
        <w:t>IV. KẾ HOẠCH ỨNG PHÓ SỰ CỐ ĐỐI VỚI CÁC CƠ SỞ ĐĂNG KÝ DỊCH VỤ HỖ TRỢ NĂNG LƯỢNG NGUYÊN TỬ</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1. Căn cứ pháp lý, sơ đồ tổ chức ứng phó sự cố tại cơ sở; trách nhiệm của tổ chức, cá nhân liên quan và nguồn lực phục vụ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lastRenderedPageBreak/>
        <w:t>2. Mô tả loại hình dịch vụ hỗ trợ năng lượng nguyên tử của cơ sở; phân tích nguy cơ và xác định các tình huống sự cố, hậu quả có thể xảy ra khi cung cấp dịch vụ.</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3. Kịch bản ứng phó sự cố cho từng tình huống mô tả tại khoản 2 mục này.</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5. Đào tạo, diễn tập, cập nhật kế hoạch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6. Tài liệu kèm theo:</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a) Danh sách, địa chỉ, số điện thoại liên lạc của tổ chức, cá nhân tham gia ứng phó sự cố và tổ chức, cá nhân hỗ trợ;</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b) Danh mục trang thiết bị sử dụng trong ứng phó sự cố;</w:t>
      </w:r>
    </w:p>
    <w:p w:rsidR="00E767B4" w:rsidRPr="00E767B4" w:rsidRDefault="00E767B4" w:rsidP="00E767B4">
      <w:pPr>
        <w:pStyle w:val="NormalWeb"/>
        <w:shd w:val="clear" w:color="auto" w:fill="FFFFFF"/>
        <w:spacing w:before="120" w:beforeAutospacing="0" w:after="120" w:afterAutospacing="0" w:line="234" w:lineRule="atLeast"/>
        <w:jc w:val="both"/>
        <w:rPr>
          <w:color w:val="000000"/>
        </w:rPr>
      </w:pPr>
      <w:r w:rsidRPr="00E767B4">
        <w:rPr>
          <w:color w:val="000000"/>
        </w:rPr>
        <w:t>c) Các biểu mẫu: Thông báo và tiếp nhận thông tin; yêu cầu trợ giúp; báo cáo trong quá trình ứng phó và sau khi sự cố kết thúc./.</w:t>
      </w:r>
    </w:p>
    <w:bookmarkEnd w:id="0"/>
    <w:p w:rsidR="0014742C" w:rsidRPr="00E767B4" w:rsidRDefault="0014742C" w:rsidP="00E767B4">
      <w:pPr>
        <w:jc w:val="both"/>
        <w:rPr>
          <w:rFonts w:cs="Times New Roman"/>
          <w:szCs w:val="24"/>
        </w:rPr>
      </w:pPr>
    </w:p>
    <w:sectPr w:rsidR="0014742C" w:rsidRPr="00E7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E9"/>
    <w:rsid w:val="000041E0"/>
    <w:rsid w:val="0014742C"/>
    <w:rsid w:val="00325933"/>
    <w:rsid w:val="00362BD9"/>
    <w:rsid w:val="00672A87"/>
    <w:rsid w:val="00807969"/>
    <w:rsid w:val="008F0DD5"/>
    <w:rsid w:val="00A04900"/>
    <w:rsid w:val="00A8668B"/>
    <w:rsid w:val="00B9228C"/>
    <w:rsid w:val="00CF2BB2"/>
    <w:rsid w:val="00E301E9"/>
    <w:rsid w:val="00E7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6094-8137-4089-8662-5206C6B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25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301E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3259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1E9"/>
    <w:rPr>
      <w:rFonts w:eastAsia="Times New Roman" w:cs="Times New Roman"/>
      <w:b/>
      <w:bCs/>
      <w:sz w:val="36"/>
      <w:szCs w:val="36"/>
    </w:rPr>
  </w:style>
  <w:style w:type="paragraph" w:styleId="NormalWeb">
    <w:name w:val="Normal (Web)"/>
    <w:basedOn w:val="Normal"/>
    <w:uiPriority w:val="99"/>
    <w:semiHidden/>
    <w:unhideWhenUsed/>
    <w:rsid w:val="00E301E9"/>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1"/>
    <w:rsid w:val="003259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5933"/>
    <w:rPr>
      <w:rFonts w:asciiTheme="majorHAnsi" w:eastAsiaTheme="majorEastAsia" w:hAnsiTheme="majorHAnsi" w:cstheme="majorBidi"/>
      <w:color w:val="1F4D78" w:themeColor="accent1" w:themeShade="7F"/>
      <w:szCs w:val="24"/>
    </w:rPr>
  </w:style>
  <w:style w:type="paragraph" w:customStyle="1" w:styleId="bmax">
    <w:name w:val="bm_ax"/>
    <w:basedOn w:val="Normal"/>
    <w:rsid w:val="00325933"/>
    <w:pPr>
      <w:spacing w:before="100" w:beforeAutospacing="1" w:after="100" w:afterAutospacing="1" w:line="240" w:lineRule="auto"/>
    </w:pPr>
    <w:rPr>
      <w:rFonts w:eastAsia="Times New Roman" w:cs="Times New Roman"/>
      <w:szCs w:val="24"/>
    </w:rPr>
  </w:style>
  <w:style w:type="character" w:customStyle="1" w:styleId="bmsb">
    <w:name w:val="bm_sb"/>
    <w:basedOn w:val="DefaultParagraphFont"/>
    <w:rsid w:val="000041E0"/>
  </w:style>
  <w:style w:type="character" w:styleId="Strong">
    <w:name w:val="Strong"/>
    <w:basedOn w:val="DefaultParagraphFont"/>
    <w:uiPriority w:val="22"/>
    <w:qFormat/>
    <w:rsid w:val="0014742C"/>
    <w:rPr>
      <w:b/>
      <w:bCs/>
    </w:rPr>
  </w:style>
  <w:style w:type="paragraph" w:styleId="BodyText">
    <w:name w:val="Body Text"/>
    <w:basedOn w:val="Normal"/>
    <w:link w:val="BodyTextChar"/>
    <w:uiPriority w:val="1"/>
    <w:qFormat/>
    <w:rsid w:val="008F0DD5"/>
    <w:pPr>
      <w:widowControl w:val="0"/>
      <w:autoSpaceDE w:val="0"/>
      <w:autoSpaceDN w:val="0"/>
      <w:spacing w:after="0" w:line="240" w:lineRule="auto"/>
      <w:ind w:left="252"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F0DD5"/>
    <w:rPr>
      <w:rFonts w:eastAsia="Times New Roman" w:cs="Times New Roman"/>
      <w:sz w:val="26"/>
      <w:szCs w:val="26"/>
      <w:lang w:val="vi"/>
    </w:rPr>
  </w:style>
  <w:style w:type="character" w:styleId="Hyperlink">
    <w:name w:val="Hyperlink"/>
    <w:basedOn w:val="DefaultParagraphFont"/>
    <w:uiPriority w:val="99"/>
    <w:semiHidden/>
    <w:unhideWhenUsed/>
    <w:rsid w:val="00CF2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484">
      <w:bodyDiv w:val="1"/>
      <w:marLeft w:val="0"/>
      <w:marRight w:val="0"/>
      <w:marTop w:val="0"/>
      <w:marBottom w:val="0"/>
      <w:divBdr>
        <w:top w:val="none" w:sz="0" w:space="0" w:color="auto"/>
        <w:left w:val="none" w:sz="0" w:space="0" w:color="auto"/>
        <w:bottom w:val="none" w:sz="0" w:space="0" w:color="auto"/>
        <w:right w:val="none" w:sz="0" w:space="0" w:color="auto"/>
      </w:divBdr>
      <w:divsChild>
        <w:div w:id="1544975361">
          <w:marLeft w:val="0"/>
          <w:marRight w:val="0"/>
          <w:marTop w:val="225"/>
          <w:marBottom w:val="0"/>
          <w:divBdr>
            <w:top w:val="none" w:sz="0" w:space="0" w:color="auto"/>
            <w:left w:val="none" w:sz="0" w:space="0" w:color="auto"/>
            <w:bottom w:val="none" w:sz="0" w:space="0" w:color="auto"/>
            <w:right w:val="none" w:sz="0" w:space="0" w:color="auto"/>
          </w:divBdr>
        </w:div>
      </w:divsChild>
    </w:div>
    <w:div w:id="192424631">
      <w:bodyDiv w:val="1"/>
      <w:marLeft w:val="0"/>
      <w:marRight w:val="0"/>
      <w:marTop w:val="0"/>
      <w:marBottom w:val="0"/>
      <w:divBdr>
        <w:top w:val="none" w:sz="0" w:space="0" w:color="auto"/>
        <w:left w:val="none" w:sz="0" w:space="0" w:color="auto"/>
        <w:bottom w:val="none" w:sz="0" w:space="0" w:color="auto"/>
        <w:right w:val="none" w:sz="0" w:space="0" w:color="auto"/>
      </w:divBdr>
    </w:div>
    <w:div w:id="261767559">
      <w:bodyDiv w:val="1"/>
      <w:marLeft w:val="0"/>
      <w:marRight w:val="0"/>
      <w:marTop w:val="0"/>
      <w:marBottom w:val="0"/>
      <w:divBdr>
        <w:top w:val="none" w:sz="0" w:space="0" w:color="auto"/>
        <w:left w:val="none" w:sz="0" w:space="0" w:color="auto"/>
        <w:bottom w:val="none" w:sz="0" w:space="0" w:color="auto"/>
        <w:right w:val="none" w:sz="0" w:space="0" w:color="auto"/>
      </w:divBdr>
    </w:div>
    <w:div w:id="346560484">
      <w:bodyDiv w:val="1"/>
      <w:marLeft w:val="0"/>
      <w:marRight w:val="0"/>
      <w:marTop w:val="0"/>
      <w:marBottom w:val="0"/>
      <w:divBdr>
        <w:top w:val="none" w:sz="0" w:space="0" w:color="auto"/>
        <w:left w:val="none" w:sz="0" w:space="0" w:color="auto"/>
        <w:bottom w:val="none" w:sz="0" w:space="0" w:color="auto"/>
        <w:right w:val="none" w:sz="0" w:space="0" w:color="auto"/>
      </w:divBdr>
    </w:div>
    <w:div w:id="498929726">
      <w:bodyDiv w:val="1"/>
      <w:marLeft w:val="0"/>
      <w:marRight w:val="0"/>
      <w:marTop w:val="0"/>
      <w:marBottom w:val="0"/>
      <w:divBdr>
        <w:top w:val="none" w:sz="0" w:space="0" w:color="auto"/>
        <w:left w:val="none" w:sz="0" w:space="0" w:color="auto"/>
        <w:bottom w:val="none" w:sz="0" w:space="0" w:color="auto"/>
        <w:right w:val="none" w:sz="0" w:space="0" w:color="auto"/>
      </w:divBdr>
    </w:div>
    <w:div w:id="499319916">
      <w:bodyDiv w:val="1"/>
      <w:marLeft w:val="0"/>
      <w:marRight w:val="0"/>
      <w:marTop w:val="0"/>
      <w:marBottom w:val="0"/>
      <w:divBdr>
        <w:top w:val="none" w:sz="0" w:space="0" w:color="auto"/>
        <w:left w:val="none" w:sz="0" w:space="0" w:color="auto"/>
        <w:bottom w:val="none" w:sz="0" w:space="0" w:color="auto"/>
        <w:right w:val="none" w:sz="0" w:space="0" w:color="auto"/>
      </w:divBdr>
    </w:div>
    <w:div w:id="622151110">
      <w:bodyDiv w:val="1"/>
      <w:marLeft w:val="0"/>
      <w:marRight w:val="0"/>
      <w:marTop w:val="0"/>
      <w:marBottom w:val="0"/>
      <w:divBdr>
        <w:top w:val="none" w:sz="0" w:space="0" w:color="auto"/>
        <w:left w:val="none" w:sz="0" w:space="0" w:color="auto"/>
        <w:bottom w:val="none" w:sz="0" w:space="0" w:color="auto"/>
        <w:right w:val="none" w:sz="0" w:space="0" w:color="auto"/>
      </w:divBdr>
    </w:div>
    <w:div w:id="744956787">
      <w:bodyDiv w:val="1"/>
      <w:marLeft w:val="0"/>
      <w:marRight w:val="0"/>
      <w:marTop w:val="0"/>
      <w:marBottom w:val="0"/>
      <w:divBdr>
        <w:top w:val="none" w:sz="0" w:space="0" w:color="auto"/>
        <w:left w:val="none" w:sz="0" w:space="0" w:color="auto"/>
        <w:bottom w:val="none" w:sz="0" w:space="0" w:color="auto"/>
        <w:right w:val="none" w:sz="0" w:space="0" w:color="auto"/>
      </w:divBdr>
    </w:div>
    <w:div w:id="776026329">
      <w:bodyDiv w:val="1"/>
      <w:marLeft w:val="0"/>
      <w:marRight w:val="0"/>
      <w:marTop w:val="0"/>
      <w:marBottom w:val="0"/>
      <w:divBdr>
        <w:top w:val="none" w:sz="0" w:space="0" w:color="auto"/>
        <w:left w:val="none" w:sz="0" w:space="0" w:color="auto"/>
        <w:bottom w:val="none" w:sz="0" w:space="0" w:color="auto"/>
        <w:right w:val="none" w:sz="0" w:space="0" w:color="auto"/>
      </w:divBdr>
    </w:div>
    <w:div w:id="787049901">
      <w:bodyDiv w:val="1"/>
      <w:marLeft w:val="0"/>
      <w:marRight w:val="0"/>
      <w:marTop w:val="0"/>
      <w:marBottom w:val="0"/>
      <w:divBdr>
        <w:top w:val="none" w:sz="0" w:space="0" w:color="auto"/>
        <w:left w:val="none" w:sz="0" w:space="0" w:color="auto"/>
        <w:bottom w:val="none" w:sz="0" w:space="0" w:color="auto"/>
        <w:right w:val="none" w:sz="0" w:space="0" w:color="auto"/>
      </w:divBdr>
    </w:div>
    <w:div w:id="789933400">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1194877867">
      <w:bodyDiv w:val="1"/>
      <w:marLeft w:val="0"/>
      <w:marRight w:val="0"/>
      <w:marTop w:val="0"/>
      <w:marBottom w:val="0"/>
      <w:divBdr>
        <w:top w:val="none" w:sz="0" w:space="0" w:color="auto"/>
        <w:left w:val="none" w:sz="0" w:space="0" w:color="auto"/>
        <w:bottom w:val="none" w:sz="0" w:space="0" w:color="auto"/>
        <w:right w:val="none" w:sz="0" w:space="0" w:color="auto"/>
      </w:divBdr>
    </w:div>
    <w:div w:id="1223053849">
      <w:bodyDiv w:val="1"/>
      <w:marLeft w:val="0"/>
      <w:marRight w:val="0"/>
      <w:marTop w:val="0"/>
      <w:marBottom w:val="0"/>
      <w:divBdr>
        <w:top w:val="none" w:sz="0" w:space="0" w:color="auto"/>
        <w:left w:val="none" w:sz="0" w:space="0" w:color="auto"/>
        <w:bottom w:val="none" w:sz="0" w:space="0" w:color="auto"/>
        <w:right w:val="none" w:sz="0" w:space="0" w:color="auto"/>
      </w:divBdr>
    </w:div>
    <w:div w:id="1456677014">
      <w:bodyDiv w:val="1"/>
      <w:marLeft w:val="0"/>
      <w:marRight w:val="0"/>
      <w:marTop w:val="0"/>
      <w:marBottom w:val="0"/>
      <w:divBdr>
        <w:top w:val="none" w:sz="0" w:space="0" w:color="auto"/>
        <w:left w:val="none" w:sz="0" w:space="0" w:color="auto"/>
        <w:bottom w:val="none" w:sz="0" w:space="0" w:color="auto"/>
        <w:right w:val="none" w:sz="0" w:space="0" w:color="auto"/>
      </w:divBdr>
    </w:div>
    <w:div w:id="1681548200">
      <w:bodyDiv w:val="1"/>
      <w:marLeft w:val="0"/>
      <w:marRight w:val="0"/>
      <w:marTop w:val="0"/>
      <w:marBottom w:val="0"/>
      <w:divBdr>
        <w:top w:val="none" w:sz="0" w:space="0" w:color="auto"/>
        <w:left w:val="none" w:sz="0" w:space="0" w:color="auto"/>
        <w:bottom w:val="none" w:sz="0" w:space="0" w:color="auto"/>
        <w:right w:val="none" w:sz="0" w:space="0" w:color="auto"/>
      </w:divBdr>
    </w:div>
    <w:div w:id="1683781887">
      <w:bodyDiv w:val="1"/>
      <w:marLeft w:val="0"/>
      <w:marRight w:val="0"/>
      <w:marTop w:val="0"/>
      <w:marBottom w:val="0"/>
      <w:divBdr>
        <w:top w:val="none" w:sz="0" w:space="0" w:color="auto"/>
        <w:left w:val="none" w:sz="0" w:space="0" w:color="auto"/>
        <w:bottom w:val="none" w:sz="0" w:space="0" w:color="auto"/>
        <w:right w:val="none" w:sz="0" w:space="0" w:color="auto"/>
      </w:divBdr>
    </w:div>
    <w:div w:id="1777289205">
      <w:bodyDiv w:val="1"/>
      <w:marLeft w:val="0"/>
      <w:marRight w:val="0"/>
      <w:marTop w:val="0"/>
      <w:marBottom w:val="0"/>
      <w:divBdr>
        <w:top w:val="none" w:sz="0" w:space="0" w:color="auto"/>
        <w:left w:val="none" w:sz="0" w:space="0" w:color="auto"/>
        <w:bottom w:val="none" w:sz="0" w:space="0" w:color="auto"/>
        <w:right w:val="none" w:sz="0" w:space="0" w:color="auto"/>
      </w:divBdr>
      <w:divsChild>
        <w:div w:id="995720006">
          <w:marLeft w:val="0"/>
          <w:marRight w:val="0"/>
          <w:marTop w:val="225"/>
          <w:marBottom w:val="0"/>
          <w:divBdr>
            <w:top w:val="none" w:sz="0" w:space="0" w:color="auto"/>
            <w:left w:val="none" w:sz="0" w:space="0" w:color="auto"/>
            <w:bottom w:val="none" w:sz="0" w:space="0" w:color="auto"/>
            <w:right w:val="none" w:sz="0" w:space="0" w:color="auto"/>
          </w:divBdr>
        </w:div>
      </w:divsChild>
    </w:div>
    <w:div w:id="1916668747">
      <w:bodyDiv w:val="1"/>
      <w:marLeft w:val="0"/>
      <w:marRight w:val="0"/>
      <w:marTop w:val="0"/>
      <w:marBottom w:val="0"/>
      <w:divBdr>
        <w:top w:val="none" w:sz="0" w:space="0" w:color="auto"/>
        <w:left w:val="none" w:sz="0" w:space="0" w:color="auto"/>
        <w:bottom w:val="none" w:sz="0" w:space="0" w:color="auto"/>
        <w:right w:val="none" w:sz="0" w:space="0" w:color="auto"/>
      </w:divBdr>
    </w:div>
    <w:div w:id="2053721755">
      <w:bodyDiv w:val="1"/>
      <w:marLeft w:val="0"/>
      <w:marRight w:val="0"/>
      <w:marTop w:val="0"/>
      <w:marBottom w:val="0"/>
      <w:divBdr>
        <w:top w:val="none" w:sz="0" w:space="0" w:color="auto"/>
        <w:left w:val="none" w:sz="0" w:space="0" w:color="auto"/>
        <w:bottom w:val="none" w:sz="0" w:space="0" w:color="auto"/>
        <w:right w:val="none" w:sz="0" w:space="0" w:color="auto"/>
      </w:divBdr>
    </w:div>
    <w:div w:id="21095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2023-09-25T02:01:00Z</dcterms:created>
  <dcterms:modified xsi:type="dcterms:W3CDTF">2023-09-27T01:36:00Z</dcterms:modified>
</cp:coreProperties>
</file>